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1B" w:rsidRDefault="003C041B" w:rsidP="003C041B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171700" cy="4002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eerFinancial_RGB_27-104-117_Hor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992" cy="40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7BC" w:rsidRPr="000C7640" w:rsidRDefault="00E655E5" w:rsidP="000C7640">
      <w:pPr>
        <w:jc w:val="center"/>
        <w:rPr>
          <w:b/>
          <w:sz w:val="28"/>
        </w:rPr>
      </w:pPr>
      <w:r>
        <w:rPr>
          <w:b/>
          <w:sz w:val="28"/>
        </w:rPr>
        <w:t>How Can We Estimate</w:t>
      </w:r>
      <w:r w:rsidR="000C7640" w:rsidRPr="000C7640">
        <w:rPr>
          <w:b/>
          <w:sz w:val="28"/>
        </w:rPr>
        <w:t xml:space="preserve"> “Family Living Costs?”</w:t>
      </w:r>
    </w:p>
    <w:p w:rsidR="000C7640" w:rsidRPr="000C7640" w:rsidRDefault="000C7640" w:rsidP="000C764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0C7640">
        <w:rPr>
          <w:rFonts w:eastAsiaTheme="minorEastAsia" w:hAnsi="Franklin Gothic Book"/>
          <w:b/>
          <w:color w:val="0D0D0D" w:themeColor="text1" w:themeTint="F2"/>
          <w:kern w:val="24"/>
          <w:position w:val="1"/>
        </w:rPr>
        <w:t>Housing</w:t>
      </w:r>
    </w:p>
    <w:p w:rsidR="000C7640" w:rsidRPr="000C7640" w:rsidRDefault="000C7640" w:rsidP="000C764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0C7640">
        <w:rPr>
          <w:rFonts w:eastAsiaTheme="minorEastAsia" w:hAnsi="Franklin Gothic Book"/>
          <w:b/>
          <w:color w:val="0D0D0D" w:themeColor="text1" w:themeTint="F2"/>
          <w:kern w:val="24"/>
          <w:position w:val="1"/>
        </w:rPr>
        <w:t>Food and household</w:t>
      </w:r>
    </w:p>
    <w:p w:rsidR="000C7640" w:rsidRPr="000C7640" w:rsidRDefault="000C7640" w:rsidP="000C764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0C7640">
        <w:rPr>
          <w:rFonts w:eastAsiaTheme="minorEastAsia" w:hAnsi="Franklin Gothic Book"/>
          <w:b/>
          <w:color w:val="0D0D0D" w:themeColor="text1" w:themeTint="F2"/>
          <w:kern w:val="24"/>
          <w:position w:val="1"/>
        </w:rPr>
        <w:t>Clothing and personal care</w:t>
      </w:r>
    </w:p>
    <w:p w:rsidR="000C7640" w:rsidRPr="000C7640" w:rsidRDefault="000C7640" w:rsidP="000C764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0C7640">
        <w:rPr>
          <w:rFonts w:eastAsiaTheme="minorEastAsia" w:hAnsi="Franklin Gothic Book"/>
          <w:b/>
          <w:color w:val="0D0D0D" w:themeColor="text1" w:themeTint="F2"/>
          <w:kern w:val="24"/>
          <w:position w:val="1"/>
        </w:rPr>
        <w:t>Medical expenses</w:t>
      </w:r>
    </w:p>
    <w:p w:rsidR="000C7640" w:rsidRPr="000C7640" w:rsidRDefault="000C7640" w:rsidP="000C764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0C7640">
        <w:rPr>
          <w:rFonts w:eastAsiaTheme="minorEastAsia" w:hAnsi="Franklin Gothic Book"/>
          <w:b/>
          <w:color w:val="0D0D0D" w:themeColor="text1" w:themeTint="F2"/>
          <w:kern w:val="24"/>
          <w:position w:val="1"/>
        </w:rPr>
        <w:t>Transportation</w:t>
      </w:r>
    </w:p>
    <w:p w:rsidR="000C7640" w:rsidRPr="000C7640" w:rsidRDefault="000C7640" w:rsidP="000C764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0C7640">
        <w:rPr>
          <w:rFonts w:eastAsiaTheme="minorEastAsia" w:hAnsi="Franklin Gothic Book"/>
          <w:b/>
          <w:color w:val="0D0D0D" w:themeColor="text1" w:themeTint="F2"/>
          <w:kern w:val="24"/>
          <w:position w:val="1"/>
        </w:rPr>
        <w:t>Entertainment and recreation</w:t>
      </w:r>
    </w:p>
    <w:p w:rsidR="000C7640" w:rsidRPr="000C7640" w:rsidRDefault="000C7640" w:rsidP="000C764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0C7640">
        <w:rPr>
          <w:rFonts w:eastAsiaTheme="minorEastAsia" w:hAnsi="Franklin Gothic Book"/>
          <w:b/>
          <w:color w:val="0D0D0D" w:themeColor="text1" w:themeTint="F2"/>
          <w:kern w:val="24"/>
          <w:position w:val="1"/>
        </w:rPr>
        <w:t>Charitable contributions</w:t>
      </w:r>
    </w:p>
    <w:p w:rsidR="000C7640" w:rsidRPr="00E655E5" w:rsidRDefault="000C7640" w:rsidP="000C764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0C7640">
        <w:rPr>
          <w:rFonts w:eastAsiaTheme="minorEastAsia" w:hAnsi="Franklin Gothic Book"/>
          <w:b/>
          <w:color w:val="0D0D0D" w:themeColor="text1" w:themeTint="F2"/>
          <w:kern w:val="24"/>
          <w:position w:val="1"/>
        </w:rPr>
        <w:t>Debt repayment</w:t>
      </w:r>
    </w:p>
    <w:p w:rsidR="000C7640" w:rsidRPr="00E655E5" w:rsidRDefault="000C7640" w:rsidP="000C764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E655E5">
        <w:rPr>
          <w:rFonts w:eastAsiaTheme="minorEastAsia" w:hAnsi="Franklin Gothic Book"/>
          <w:b/>
          <w:color w:val="0D0D0D" w:themeColor="text1" w:themeTint="F2"/>
          <w:kern w:val="24"/>
          <w:position w:val="1"/>
        </w:rPr>
        <w:t>Miscellaneous expenses</w:t>
      </w:r>
    </w:p>
    <w:p w:rsidR="000C7640" w:rsidRPr="00E655E5" w:rsidRDefault="000C7640" w:rsidP="000C7640">
      <w:pPr>
        <w:spacing w:after="0" w:line="240" w:lineRule="auto"/>
        <w:contextualSpacing/>
        <w:rPr>
          <w:rFonts w:eastAsiaTheme="minorEastAsia" w:hAnsi="Franklin Gothic Book"/>
          <w:color w:val="0D0D0D" w:themeColor="text1" w:themeTint="F2"/>
          <w:kern w:val="24"/>
          <w:position w:val="1"/>
        </w:rPr>
      </w:pPr>
    </w:p>
    <w:p w:rsidR="000C7640" w:rsidRPr="00E655E5" w:rsidRDefault="000C7640" w:rsidP="000C7640">
      <w:pPr>
        <w:spacing w:after="0" w:line="240" w:lineRule="auto"/>
        <w:contextualSpacing/>
        <w:rPr>
          <w:rFonts w:eastAsiaTheme="minorEastAsia" w:hAnsi="Franklin Gothic Book"/>
          <w:b/>
          <w:i/>
          <w:color w:val="0D0D0D" w:themeColor="text1" w:themeTint="F2"/>
          <w:kern w:val="24"/>
          <w:position w:val="1"/>
        </w:rPr>
      </w:pPr>
      <w:r w:rsidRPr="00E655E5">
        <w:rPr>
          <w:rFonts w:eastAsiaTheme="minorEastAsia" w:hAnsi="Franklin Gothic Book"/>
          <w:b/>
          <w:color w:val="0D0D0D" w:themeColor="text1" w:themeTint="F2"/>
          <w:kern w:val="24"/>
          <w:position w:val="1"/>
        </w:rPr>
        <w:t>Housing</w:t>
      </w:r>
      <w:r w:rsidRPr="00E655E5">
        <w:rPr>
          <w:rFonts w:eastAsiaTheme="minorEastAsia" w:hAnsi="Franklin Gothic Book"/>
          <w:color w:val="0D0D0D" w:themeColor="text1" w:themeTint="F2"/>
          <w:kern w:val="24"/>
          <w:position w:val="1"/>
        </w:rPr>
        <w:t xml:space="preserve"> </w:t>
      </w:r>
      <w:r w:rsidRPr="00E655E5">
        <w:rPr>
          <w:rFonts w:eastAsiaTheme="minorEastAsia" w:hAnsi="Franklin Gothic Book"/>
          <w:color w:val="0D0D0D" w:themeColor="text1" w:themeTint="F2"/>
          <w:kern w:val="24"/>
          <w:position w:val="1"/>
        </w:rPr>
        <w:t>–</w:t>
      </w:r>
      <w:r w:rsidRPr="00E655E5">
        <w:rPr>
          <w:rFonts w:eastAsiaTheme="minorEastAsia" w:hAnsi="Franklin Gothic Book"/>
          <w:color w:val="0D0D0D" w:themeColor="text1" w:themeTint="F2"/>
          <w:kern w:val="24"/>
          <w:position w:val="1"/>
        </w:rPr>
        <w:t xml:space="preserve"> Mortgage or rent, property taxes, utilities (electricity, LP, phone, cell, internet service, satellite TV), home furnishings, appliances, maintenance &amp; repairs, insurance, seasonal expenses (snow removal, mowing, cleaning gutters, etc.)  </w:t>
      </w:r>
      <w:r w:rsidRPr="00E655E5">
        <w:rPr>
          <w:rFonts w:eastAsiaTheme="minorEastAsia" w:hAnsi="Franklin Gothic Book"/>
          <w:b/>
          <w:i/>
          <w:color w:val="0D0D0D" w:themeColor="text1" w:themeTint="F2"/>
          <w:kern w:val="24"/>
          <w:position w:val="1"/>
        </w:rPr>
        <w:t>Could run $1,500/month or more.</w:t>
      </w:r>
    </w:p>
    <w:p w:rsidR="000C7640" w:rsidRPr="00E655E5" w:rsidRDefault="000C7640" w:rsidP="000C7640">
      <w:pPr>
        <w:spacing w:after="0" w:line="240" w:lineRule="auto"/>
        <w:contextualSpacing/>
        <w:rPr>
          <w:rFonts w:eastAsiaTheme="minorEastAsia" w:hAnsi="Franklin Gothic Book"/>
          <w:color w:val="0D0D0D" w:themeColor="text1" w:themeTint="F2"/>
          <w:kern w:val="24"/>
          <w:position w:val="1"/>
        </w:rPr>
      </w:pPr>
    </w:p>
    <w:p w:rsidR="000C7640" w:rsidRPr="00E655E5" w:rsidRDefault="000C7640" w:rsidP="000C7640">
      <w:pPr>
        <w:spacing w:after="0" w:line="240" w:lineRule="auto"/>
        <w:contextualSpacing/>
        <w:rPr>
          <w:rFonts w:eastAsiaTheme="minorEastAsia" w:hAnsi="Franklin Gothic Book"/>
          <w:color w:val="0D0D0D" w:themeColor="text1" w:themeTint="F2"/>
          <w:kern w:val="24"/>
          <w:position w:val="1"/>
        </w:rPr>
      </w:pPr>
      <w:r w:rsidRPr="00E655E5">
        <w:rPr>
          <w:rFonts w:eastAsiaTheme="minorEastAsia" w:hAnsi="Franklin Gothic Book"/>
          <w:b/>
          <w:color w:val="0D0D0D" w:themeColor="text1" w:themeTint="F2"/>
          <w:kern w:val="24"/>
          <w:position w:val="1"/>
        </w:rPr>
        <w:t>Food and household</w:t>
      </w:r>
      <w:r w:rsidRPr="00E655E5">
        <w:rPr>
          <w:rFonts w:eastAsiaTheme="minorEastAsia" w:hAnsi="Franklin Gothic Book"/>
          <w:color w:val="0D0D0D" w:themeColor="text1" w:themeTint="F2"/>
          <w:kern w:val="24"/>
          <w:position w:val="1"/>
        </w:rPr>
        <w:t xml:space="preserve"> </w:t>
      </w:r>
      <w:r w:rsidRPr="00E655E5">
        <w:rPr>
          <w:rFonts w:eastAsiaTheme="minorEastAsia" w:hAnsi="Franklin Gothic Book"/>
          <w:color w:val="0D0D0D" w:themeColor="text1" w:themeTint="F2"/>
          <w:kern w:val="24"/>
          <w:position w:val="1"/>
        </w:rPr>
        <w:t>–</w:t>
      </w:r>
      <w:r w:rsidRPr="00E655E5">
        <w:rPr>
          <w:rFonts w:eastAsiaTheme="minorEastAsia" w:hAnsi="Franklin Gothic Book"/>
          <w:color w:val="0D0D0D" w:themeColor="text1" w:themeTint="F2"/>
          <w:kern w:val="24"/>
          <w:position w:val="1"/>
        </w:rPr>
        <w:t xml:space="preserve"> Groceries (just food consumed at home), household supplies (all the miscellaneous stuff you buy at Walmart or Target).  </w:t>
      </w:r>
      <w:r w:rsidR="003C678B" w:rsidRPr="00E655E5">
        <w:rPr>
          <w:rFonts w:eastAsiaTheme="minorEastAsia" w:hAnsi="Franklin Gothic Book"/>
          <w:b/>
          <w:i/>
          <w:color w:val="0D0D0D" w:themeColor="text1" w:themeTint="F2"/>
          <w:kern w:val="24"/>
          <w:position w:val="1"/>
        </w:rPr>
        <w:t>Estimate $300 to $400 per person, per month.</w:t>
      </w:r>
    </w:p>
    <w:p w:rsidR="003C678B" w:rsidRPr="00E655E5" w:rsidRDefault="003C678B" w:rsidP="000C7640">
      <w:pPr>
        <w:spacing w:after="0" w:line="240" w:lineRule="auto"/>
        <w:contextualSpacing/>
        <w:rPr>
          <w:rFonts w:eastAsiaTheme="minorEastAsia" w:hAnsi="Franklin Gothic Book"/>
          <w:color w:val="0D0D0D" w:themeColor="text1" w:themeTint="F2"/>
          <w:kern w:val="24"/>
          <w:position w:val="1"/>
        </w:rPr>
      </w:pPr>
    </w:p>
    <w:p w:rsidR="003C678B" w:rsidRPr="00E655E5" w:rsidRDefault="003C678B" w:rsidP="000C7640">
      <w:pPr>
        <w:spacing w:after="0" w:line="240" w:lineRule="auto"/>
        <w:contextualSpacing/>
        <w:rPr>
          <w:rFonts w:eastAsiaTheme="minorEastAsia" w:hAnsi="Franklin Gothic Book"/>
          <w:color w:val="0D0D0D" w:themeColor="text1" w:themeTint="F2"/>
          <w:kern w:val="24"/>
          <w:position w:val="1"/>
        </w:rPr>
      </w:pPr>
      <w:r w:rsidRPr="00E655E5">
        <w:rPr>
          <w:rFonts w:eastAsiaTheme="minorEastAsia" w:hAnsi="Franklin Gothic Book"/>
          <w:b/>
          <w:color w:val="0D0D0D" w:themeColor="text1" w:themeTint="F2"/>
          <w:kern w:val="24"/>
          <w:position w:val="1"/>
        </w:rPr>
        <w:t>Clothing and personal care</w:t>
      </w:r>
      <w:r w:rsidRPr="00E655E5">
        <w:rPr>
          <w:rFonts w:eastAsiaTheme="minorEastAsia" w:hAnsi="Franklin Gothic Book"/>
          <w:color w:val="0D0D0D" w:themeColor="text1" w:themeTint="F2"/>
          <w:kern w:val="24"/>
          <w:position w:val="1"/>
        </w:rPr>
        <w:t xml:space="preserve"> </w:t>
      </w:r>
      <w:r w:rsidRPr="00E655E5">
        <w:rPr>
          <w:rFonts w:eastAsiaTheme="minorEastAsia" w:hAnsi="Franklin Gothic Book"/>
          <w:color w:val="0D0D0D" w:themeColor="text1" w:themeTint="F2"/>
          <w:kern w:val="24"/>
          <w:position w:val="1"/>
        </w:rPr>
        <w:t>–</w:t>
      </w:r>
      <w:r w:rsidRPr="00E655E5">
        <w:rPr>
          <w:rFonts w:eastAsiaTheme="minorEastAsia" w:hAnsi="Franklin Gothic Book"/>
          <w:color w:val="0D0D0D" w:themeColor="text1" w:themeTint="F2"/>
          <w:kern w:val="24"/>
          <w:position w:val="1"/>
        </w:rPr>
        <w:t xml:space="preserve"> Purchase of new clothes, cost of haircuts or salon services.  </w:t>
      </w:r>
      <w:r w:rsidRPr="00E655E5">
        <w:rPr>
          <w:rFonts w:eastAsiaTheme="minorEastAsia" w:hAnsi="Franklin Gothic Book"/>
          <w:b/>
          <w:i/>
          <w:color w:val="0D0D0D" w:themeColor="text1" w:themeTint="F2"/>
          <w:kern w:val="24"/>
          <w:position w:val="1"/>
        </w:rPr>
        <w:t>Estimate $125 to $150 per person, per month.</w:t>
      </w:r>
    </w:p>
    <w:p w:rsidR="003C678B" w:rsidRPr="00E655E5" w:rsidRDefault="003C678B" w:rsidP="000C7640">
      <w:pPr>
        <w:spacing w:after="0" w:line="240" w:lineRule="auto"/>
        <w:contextualSpacing/>
        <w:rPr>
          <w:rFonts w:eastAsiaTheme="minorEastAsia" w:hAnsi="Franklin Gothic Book"/>
          <w:color w:val="0D0D0D" w:themeColor="text1" w:themeTint="F2"/>
          <w:kern w:val="24"/>
          <w:position w:val="1"/>
        </w:rPr>
      </w:pPr>
    </w:p>
    <w:p w:rsidR="003C678B" w:rsidRPr="00E655E5" w:rsidRDefault="003C678B" w:rsidP="000C7640">
      <w:pPr>
        <w:spacing w:after="0" w:line="240" w:lineRule="auto"/>
        <w:contextualSpacing/>
        <w:rPr>
          <w:rFonts w:eastAsiaTheme="minorEastAsia" w:hAnsi="Franklin Gothic Book"/>
          <w:color w:val="0D0D0D" w:themeColor="text1" w:themeTint="F2"/>
          <w:kern w:val="24"/>
          <w:position w:val="1"/>
        </w:rPr>
      </w:pPr>
      <w:r w:rsidRPr="00E655E5">
        <w:rPr>
          <w:rFonts w:eastAsiaTheme="minorEastAsia" w:hAnsi="Franklin Gothic Book"/>
          <w:b/>
          <w:color w:val="0D0D0D" w:themeColor="text1" w:themeTint="F2"/>
          <w:kern w:val="24"/>
          <w:position w:val="1"/>
        </w:rPr>
        <w:t>Medical expenses</w:t>
      </w:r>
      <w:r w:rsidRPr="00E655E5">
        <w:rPr>
          <w:rFonts w:eastAsiaTheme="minorEastAsia" w:hAnsi="Franklin Gothic Book"/>
          <w:color w:val="0D0D0D" w:themeColor="text1" w:themeTint="F2"/>
          <w:kern w:val="24"/>
          <w:position w:val="1"/>
        </w:rPr>
        <w:t xml:space="preserve"> </w:t>
      </w:r>
      <w:r w:rsidRPr="00E655E5">
        <w:rPr>
          <w:rFonts w:eastAsiaTheme="minorEastAsia" w:hAnsi="Franklin Gothic Book"/>
          <w:color w:val="0D0D0D" w:themeColor="text1" w:themeTint="F2"/>
          <w:kern w:val="24"/>
          <w:position w:val="1"/>
        </w:rPr>
        <w:t>–</w:t>
      </w:r>
      <w:r w:rsidRPr="00E655E5">
        <w:rPr>
          <w:rFonts w:eastAsiaTheme="minorEastAsia" w:hAnsi="Franklin Gothic Book"/>
          <w:color w:val="0D0D0D" w:themeColor="text1" w:themeTint="F2"/>
          <w:kern w:val="24"/>
          <w:position w:val="1"/>
        </w:rPr>
        <w:t xml:space="preserve"> Health insurance premiums, unreimbursed medical expenses, over-the-counter drugs, dental care, eye care, hearing aids.  </w:t>
      </w:r>
      <w:r w:rsidRPr="00E655E5">
        <w:rPr>
          <w:rFonts w:eastAsiaTheme="minorEastAsia" w:hAnsi="Franklin Gothic Book"/>
          <w:b/>
          <w:i/>
          <w:color w:val="0D0D0D" w:themeColor="text1" w:themeTint="F2"/>
          <w:kern w:val="24"/>
          <w:position w:val="1"/>
        </w:rPr>
        <w:t>Could be $150 to $500 per person, per month depending on the person</w:t>
      </w:r>
      <w:r w:rsidRPr="00E655E5">
        <w:rPr>
          <w:rFonts w:eastAsiaTheme="minorEastAsia" w:hAnsi="Franklin Gothic Book"/>
          <w:b/>
          <w:i/>
          <w:color w:val="0D0D0D" w:themeColor="text1" w:themeTint="F2"/>
          <w:kern w:val="24"/>
          <w:position w:val="1"/>
        </w:rPr>
        <w:t>’</w:t>
      </w:r>
      <w:r w:rsidRPr="00E655E5">
        <w:rPr>
          <w:rFonts w:eastAsiaTheme="minorEastAsia" w:hAnsi="Franklin Gothic Book"/>
          <w:b/>
          <w:i/>
          <w:color w:val="0D0D0D" w:themeColor="text1" w:themeTint="F2"/>
          <w:kern w:val="24"/>
          <w:position w:val="1"/>
        </w:rPr>
        <w:t>s age.</w:t>
      </w:r>
    </w:p>
    <w:p w:rsidR="003C678B" w:rsidRPr="00E655E5" w:rsidRDefault="003C678B" w:rsidP="000C7640">
      <w:pPr>
        <w:spacing w:after="0" w:line="240" w:lineRule="auto"/>
        <w:contextualSpacing/>
        <w:rPr>
          <w:rFonts w:eastAsiaTheme="minorEastAsia" w:hAnsi="Franklin Gothic Book"/>
          <w:color w:val="0D0D0D" w:themeColor="text1" w:themeTint="F2"/>
          <w:kern w:val="24"/>
          <w:position w:val="1"/>
        </w:rPr>
      </w:pPr>
    </w:p>
    <w:p w:rsidR="003C678B" w:rsidRPr="00E655E5" w:rsidRDefault="003C678B" w:rsidP="000C7640">
      <w:pPr>
        <w:spacing w:after="0" w:line="240" w:lineRule="auto"/>
        <w:contextualSpacing/>
        <w:rPr>
          <w:rFonts w:eastAsiaTheme="minorEastAsia" w:hAnsi="Franklin Gothic Book"/>
          <w:color w:val="0D0D0D" w:themeColor="text1" w:themeTint="F2"/>
          <w:kern w:val="24"/>
          <w:position w:val="1"/>
        </w:rPr>
      </w:pPr>
      <w:r w:rsidRPr="00E655E5">
        <w:rPr>
          <w:rFonts w:eastAsiaTheme="minorEastAsia" w:hAnsi="Franklin Gothic Book"/>
          <w:b/>
          <w:color w:val="0D0D0D" w:themeColor="text1" w:themeTint="F2"/>
          <w:kern w:val="24"/>
          <w:position w:val="1"/>
        </w:rPr>
        <w:t>Transportation</w:t>
      </w:r>
      <w:r w:rsidRPr="00E655E5">
        <w:rPr>
          <w:rFonts w:eastAsiaTheme="minorEastAsia" w:hAnsi="Franklin Gothic Book"/>
          <w:color w:val="0D0D0D" w:themeColor="text1" w:themeTint="F2"/>
          <w:kern w:val="24"/>
          <w:position w:val="1"/>
        </w:rPr>
        <w:t xml:space="preserve"> </w:t>
      </w:r>
      <w:r w:rsidRPr="00E655E5">
        <w:rPr>
          <w:rFonts w:eastAsiaTheme="minorEastAsia" w:hAnsi="Franklin Gothic Book"/>
          <w:color w:val="0D0D0D" w:themeColor="text1" w:themeTint="F2"/>
          <w:kern w:val="24"/>
          <w:position w:val="1"/>
        </w:rPr>
        <w:t>–</w:t>
      </w:r>
      <w:r w:rsidR="009C25D4" w:rsidRPr="00E655E5">
        <w:rPr>
          <w:rFonts w:eastAsiaTheme="minorEastAsia" w:hAnsi="Franklin Gothic Book"/>
          <w:color w:val="0D0D0D" w:themeColor="text1" w:themeTint="F2"/>
          <w:kern w:val="24"/>
          <w:position w:val="1"/>
        </w:rPr>
        <w:t xml:space="preserve"> P</w:t>
      </w:r>
      <w:r w:rsidRPr="00E655E5">
        <w:rPr>
          <w:rFonts w:eastAsiaTheme="minorEastAsia" w:hAnsi="Franklin Gothic Book"/>
          <w:color w:val="0D0D0D" w:themeColor="text1" w:themeTint="F2"/>
          <w:kern w:val="24"/>
          <w:position w:val="1"/>
        </w:rPr>
        <w:t xml:space="preserve">ayments on car loans, auto insurance, fuel, maintenance and repairs, depreciation on the vehicle.  </w:t>
      </w:r>
      <w:r w:rsidRPr="00E655E5">
        <w:rPr>
          <w:rFonts w:eastAsiaTheme="minorEastAsia" w:hAnsi="Franklin Gothic Book"/>
          <w:b/>
          <w:i/>
          <w:color w:val="0D0D0D" w:themeColor="text1" w:themeTint="F2"/>
          <w:kern w:val="24"/>
          <w:position w:val="1"/>
        </w:rPr>
        <w:t>Estimate $500/vehicle/month without a loan; $1,000/month with a loan.</w:t>
      </w:r>
    </w:p>
    <w:p w:rsidR="003C678B" w:rsidRPr="00E655E5" w:rsidRDefault="003C678B" w:rsidP="000C7640">
      <w:pPr>
        <w:spacing w:after="0" w:line="240" w:lineRule="auto"/>
        <w:contextualSpacing/>
        <w:rPr>
          <w:rFonts w:eastAsiaTheme="minorEastAsia" w:hAnsi="Franklin Gothic Book"/>
          <w:color w:val="0D0D0D" w:themeColor="text1" w:themeTint="F2"/>
          <w:kern w:val="24"/>
          <w:position w:val="1"/>
        </w:rPr>
      </w:pPr>
    </w:p>
    <w:p w:rsidR="003C678B" w:rsidRPr="00E655E5" w:rsidRDefault="003C678B" w:rsidP="000C7640">
      <w:pPr>
        <w:spacing w:after="0" w:line="240" w:lineRule="auto"/>
        <w:contextualSpacing/>
        <w:rPr>
          <w:rFonts w:eastAsiaTheme="minorEastAsia" w:hAnsi="Franklin Gothic Book"/>
          <w:color w:val="0D0D0D" w:themeColor="text1" w:themeTint="F2"/>
          <w:kern w:val="24"/>
          <w:position w:val="1"/>
        </w:rPr>
      </w:pPr>
      <w:r w:rsidRPr="00E655E5">
        <w:rPr>
          <w:rFonts w:eastAsiaTheme="minorEastAsia" w:hAnsi="Franklin Gothic Book"/>
          <w:b/>
          <w:color w:val="0D0D0D" w:themeColor="text1" w:themeTint="F2"/>
          <w:kern w:val="24"/>
          <w:position w:val="1"/>
        </w:rPr>
        <w:t>Entertainment and recreation</w:t>
      </w:r>
      <w:r w:rsidRPr="00E655E5">
        <w:rPr>
          <w:rFonts w:eastAsiaTheme="minorEastAsia" w:hAnsi="Franklin Gothic Book"/>
          <w:color w:val="0D0D0D" w:themeColor="text1" w:themeTint="F2"/>
          <w:kern w:val="24"/>
          <w:position w:val="1"/>
        </w:rPr>
        <w:t xml:space="preserve"> </w:t>
      </w:r>
      <w:r w:rsidR="009C25D4" w:rsidRPr="00E655E5">
        <w:rPr>
          <w:rFonts w:eastAsiaTheme="minorEastAsia" w:hAnsi="Franklin Gothic Book"/>
          <w:color w:val="0D0D0D" w:themeColor="text1" w:themeTint="F2"/>
          <w:kern w:val="24"/>
          <w:position w:val="1"/>
        </w:rPr>
        <w:t>–</w:t>
      </w:r>
      <w:r w:rsidRPr="00E655E5">
        <w:rPr>
          <w:rFonts w:eastAsiaTheme="minorEastAsia" w:hAnsi="Franklin Gothic Book"/>
          <w:color w:val="0D0D0D" w:themeColor="text1" w:themeTint="F2"/>
          <w:kern w:val="24"/>
          <w:position w:val="1"/>
        </w:rPr>
        <w:t xml:space="preserve"> </w:t>
      </w:r>
      <w:r w:rsidR="009C25D4" w:rsidRPr="00E655E5">
        <w:rPr>
          <w:rFonts w:eastAsiaTheme="minorEastAsia" w:hAnsi="Franklin Gothic Book"/>
          <w:color w:val="0D0D0D" w:themeColor="text1" w:themeTint="F2"/>
          <w:kern w:val="24"/>
          <w:position w:val="1"/>
        </w:rPr>
        <w:t xml:space="preserve">Vacations and other personal travel, holiday expenses, meals eaten away from home, tickets for movies or sporting events, expenses related to hunting, fishing, golfing, or other hobbies.  </w:t>
      </w:r>
      <w:r w:rsidR="009C25D4" w:rsidRPr="00E655E5">
        <w:rPr>
          <w:rFonts w:eastAsiaTheme="minorEastAsia" w:hAnsi="Franklin Gothic Book"/>
          <w:b/>
          <w:i/>
          <w:color w:val="0D0D0D" w:themeColor="text1" w:themeTint="F2"/>
          <w:kern w:val="24"/>
          <w:position w:val="1"/>
        </w:rPr>
        <w:t>Estimate $200 to $300 per person, per month depending on lifestyle.</w:t>
      </w:r>
    </w:p>
    <w:p w:rsidR="009C25D4" w:rsidRPr="00E655E5" w:rsidRDefault="009C25D4" w:rsidP="000C7640">
      <w:pPr>
        <w:spacing w:after="0" w:line="240" w:lineRule="auto"/>
        <w:contextualSpacing/>
        <w:rPr>
          <w:rFonts w:eastAsiaTheme="minorEastAsia" w:hAnsi="Franklin Gothic Book"/>
          <w:color w:val="0D0D0D" w:themeColor="text1" w:themeTint="F2"/>
          <w:kern w:val="24"/>
          <w:position w:val="1"/>
        </w:rPr>
      </w:pPr>
    </w:p>
    <w:p w:rsidR="009C25D4" w:rsidRPr="00E655E5" w:rsidRDefault="009C25D4" w:rsidP="000C7640">
      <w:pPr>
        <w:spacing w:after="0" w:line="240" w:lineRule="auto"/>
        <w:contextualSpacing/>
        <w:rPr>
          <w:rFonts w:eastAsiaTheme="minorEastAsia" w:hAnsi="Franklin Gothic Book"/>
          <w:color w:val="0D0D0D" w:themeColor="text1" w:themeTint="F2"/>
          <w:kern w:val="24"/>
          <w:position w:val="1"/>
        </w:rPr>
      </w:pPr>
      <w:r w:rsidRPr="00E655E5">
        <w:rPr>
          <w:rFonts w:eastAsiaTheme="minorEastAsia" w:hAnsi="Franklin Gothic Book"/>
          <w:b/>
          <w:color w:val="0D0D0D" w:themeColor="text1" w:themeTint="F2"/>
          <w:kern w:val="24"/>
          <w:position w:val="1"/>
        </w:rPr>
        <w:t>Charitable contributions</w:t>
      </w:r>
      <w:r w:rsidRPr="00E655E5">
        <w:rPr>
          <w:rFonts w:eastAsiaTheme="minorEastAsia" w:hAnsi="Franklin Gothic Book"/>
          <w:color w:val="0D0D0D" w:themeColor="text1" w:themeTint="F2"/>
          <w:kern w:val="24"/>
          <w:position w:val="1"/>
        </w:rPr>
        <w:t xml:space="preserve"> </w:t>
      </w:r>
      <w:r w:rsidRPr="00E655E5">
        <w:rPr>
          <w:rFonts w:eastAsiaTheme="minorEastAsia" w:hAnsi="Franklin Gothic Book"/>
          <w:color w:val="0D0D0D" w:themeColor="text1" w:themeTint="F2"/>
          <w:kern w:val="24"/>
          <w:position w:val="1"/>
        </w:rPr>
        <w:t>–</w:t>
      </w:r>
      <w:r w:rsidRPr="00E655E5">
        <w:rPr>
          <w:rFonts w:eastAsiaTheme="minorEastAsia" w:hAnsi="Franklin Gothic Book"/>
          <w:color w:val="0D0D0D" w:themeColor="text1" w:themeTint="F2"/>
          <w:kern w:val="24"/>
          <w:position w:val="1"/>
        </w:rPr>
        <w:t xml:space="preserve"> Church offerings, other contributions to non-profit organizations.  </w:t>
      </w:r>
      <w:r w:rsidRPr="00E655E5">
        <w:rPr>
          <w:rFonts w:eastAsiaTheme="minorEastAsia" w:hAnsi="Franklin Gothic Book"/>
          <w:b/>
          <w:i/>
          <w:color w:val="0D0D0D" w:themeColor="text1" w:themeTint="F2"/>
          <w:kern w:val="24"/>
          <w:position w:val="1"/>
        </w:rPr>
        <w:t>Estimate $100/person, per month</w:t>
      </w:r>
      <w:r w:rsidRPr="00E655E5">
        <w:rPr>
          <w:rFonts w:eastAsiaTheme="minorEastAsia" w:hAnsi="Franklin Gothic Book"/>
          <w:b/>
          <w:i/>
          <w:color w:val="0D0D0D" w:themeColor="text1" w:themeTint="F2"/>
          <w:kern w:val="24"/>
          <w:position w:val="1"/>
        </w:rPr>
        <w:t>…</w:t>
      </w:r>
      <w:r w:rsidRPr="00E655E5">
        <w:rPr>
          <w:rFonts w:eastAsiaTheme="minorEastAsia" w:hAnsi="Franklin Gothic Book"/>
          <w:b/>
          <w:i/>
          <w:color w:val="0D0D0D" w:themeColor="text1" w:themeTint="F2"/>
          <w:kern w:val="24"/>
          <w:position w:val="1"/>
        </w:rPr>
        <w:t>more or less depending on whether the person is generous or stingy.</w:t>
      </w:r>
    </w:p>
    <w:p w:rsidR="009C25D4" w:rsidRPr="00E655E5" w:rsidRDefault="009C25D4" w:rsidP="000C7640">
      <w:pPr>
        <w:spacing w:after="0" w:line="240" w:lineRule="auto"/>
        <w:contextualSpacing/>
        <w:rPr>
          <w:rFonts w:eastAsiaTheme="minorEastAsia" w:hAnsi="Franklin Gothic Book"/>
          <w:color w:val="0D0D0D" w:themeColor="text1" w:themeTint="F2"/>
          <w:kern w:val="24"/>
          <w:position w:val="1"/>
        </w:rPr>
      </w:pPr>
    </w:p>
    <w:p w:rsidR="009C25D4" w:rsidRPr="00E655E5" w:rsidRDefault="009C25D4" w:rsidP="000C7640">
      <w:pPr>
        <w:spacing w:after="0" w:line="240" w:lineRule="auto"/>
        <w:contextualSpacing/>
        <w:rPr>
          <w:rFonts w:eastAsiaTheme="minorEastAsia" w:hAnsi="Franklin Gothic Book"/>
          <w:color w:val="0D0D0D" w:themeColor="text1" w:themeTint="F2"/>
          <w:kern w:val="24"/>
          <w:position w:val="1"/>
        </w:rPr>
      </w:pPr>
      <w:r w:rsidRPr="00E655E5">
        <w:rPr>
          <w:rFonts w:eastAsiaTheme="minorEastAsia" w:hAnsi="Franklin Gothic Book"/>
          <w:b/>
          <w:color w:val="0D0D0D" w:themeColor="text1" w:themeTint="F2"/>
          <w:kern w:val="24"/>
          <w:position w:val="1"/>
        </w:rPr>
        <w:t>Debt repayment</w:t>
      </w:r>
      <w:r w:rsidRPr="00E655E5">
        <w:rPr>
          <w:rFonts w:eastAsiaTheme="minorEastAsia" w:hAnsi="Franklin Gothic Book"/>
          <w:color w:val="0D0D0D" w:themeColor="text1" w:themeTint="F2"/>
          <w:kern w:val="24"/>
          <w:position w:val="1"/>
        </w:rPr>
        <w:t xml:space="preserve"> </w:t>
      </w:r>
      <w:r w:rsidRPr="00E655E5">
        <w:rPr>
          <w:rFonts w:eastAsiaTheme="minorEastAsia" w:hAnsi="Franklin Gothic Book"/>
          <w:color w:val="0D0D0D" w:themeColor="text1" w:themeTint="F2"/>
          <w:kern w:val="24"/>
          <w:position w:val="1"/>
        </w:rPr>
        <w:t>–</w:t>
      </w:r>
      <w:r w:rsidRPr="00E655E5">
        <w:rPr>
          <w:rFonts w:eastAsiaTheme="minorEastAsia" w:hAnsi="Franklin Gothic Book"/>
          <w:color w:val="0D0D0D" w:themeColor="text1" w:themeTint="F2"/>
          <w:kern w:val="24"/>
          <w:position w:val="1"/>
        </w:rPr>
        <w:t xml:space="preserve"> Payments on debts other than a home mortgage or vehicle loan such as student loans, farm mortgages, recreation land loans, credit card debt.  </w:t>
      </w:r>
      <w:r w:rsidRPr="00E655E5">
        <w:rPr>
          <w:rFonts w:eastAsiaTheme="minorEastAsia" w:hAnsi="Franklin Gothic Book"/>
          <w:b/>
          <w:i/>
          <w:color w:val="0D0D0D" w:themeColor="text1" w:themeTint="F2"/>
          <w:kern w:val="24"/>
          <w:position w:val="1"/>
        </w:rPr>
        <w:t>Depends on the individual</w:t>
      </w:r>
      <w:r w:rsidRPr="00E655E5">
        <w:rPr>
          <w:rFonts w:eastAsiaTheme="minorEastAsia" w:hAnsi="Franklin Gothic Book"/>
          <w:b/>
          <w:i/>
          <w:color w:val="0D0D0D" w:themeColor="text1" w:themeTint="F2"/>
          <w:kern w:val="24"/>
          <w:position w:val="1"/>
        </w:rPr>
        <w:t>’</w:t>
      </w:r>
      <w:r w:rsidRPr="00E655E5">
        <w:rPr>
          <w:rFonts w:eastAsiaTheme="minorEastAsia" w:hAnsi="Franklin Gothic Book"/>
          <w:b/>
          <w:i/>
          <w:color w:val="0D0D0D" w:themeColor="text1" w:themeTint="F2"/>
          <w:kern w:val="24"/>
          <w:position w:val="1"/>
        </w:rPr>
        <w:t>s situation.</w:t>
      </w:r>
    </w:p>
    <w:p w:rsidR="00E655E5" w:rsidRDefault="00E655E5" w:rsidP="000C7640">
      <w:pPr>
        <w:spacing w:after="0" w:line="240" w:lineRule="auto"/>
        <w:contextualSpacing/>
        <w:rPr>
          <w:rFonts w:eastAsiaTheme="minorEastAsia" w:hAnsi="Franklin Gothic Book"/>
          <w:color w:val="0D0D0D" w:themeColor="text1" w:themeTint="F2"/>
          <w:kern w:val="24"/>
          <w:position w:val="1"/>
        </w:rPr>
      </w:pPr>
      <w:bookmarkStart w:id="0" w:name="_GoBack"/>
      <w:bookmarkEnd w:id="0"/>
    </w:p>
    <w:p w:rsidR="000C7640" w:rsidRDefault="009C25D4" w:rsidP="000C7640">
      <w:pPr>
        <w:spacing w:after="0" w:line="240" w:lineRule="auto"/>
        <w:contextualSpacing/>
        <w:rPr>
          <w:rFonts w:eastAsiaTheme="minorEastAsia" w:hAnsi="Franklin Gothic Book"/>
          <w:b/>
          <w:i/>
          <w:color w:val="0D0D0D" w:themeColor="text1" w:themeTint="F2"/>
          <w:kern w:val="24"/>
          <w:position w:val="1"/>
        </w:rPr>
      </w:pPr>
      <w:r w:rsidRPr="00E655E5">
        <w:rPr>
          <w:rFonts w:eastAsiaTheme="minorEastAsia" w:hAnsi="Franklin Gothic Book"/>
          <w:b/>
          <w:color w:val="0D0D0D" w:themeColor="text1" w:themeTint="F2"/>
          <w:kern w:val="24"/>
          <w:position w:val="1"/>
        </w:rPr>
        <w:t>Miscellaneous expenses</w:t>
      </w:r>
      <w:r w:rsidRPr="00E655E5">
        <w:rPr>
          <w:rFonts w:eastAsiaTheme="minorEastAsia" w:hAnsi="Franklin Gothic Book"/>
          <w:color w:val="0D0D0D" w:themeColor="text1" w:themeTint="F2"/>
          <w:kern w:val="24"/>
          <w:position w:val="1"/>
        </w:rPr>
        <w:t xml:space="preserve"> </w:t>
      </w:r>
      <w:r w:rsidRPr="00E655E5">
        <w:rPr>
          <w:rFonts w:eastAsiaTheme="minorEastAsia" w:hAnsi="Franklin Gothic Book"/>
          <w:color w:val="0D0D0D" w:themeColor="text1" w:themeTint="F2"/>
          <w:kern w:val="24"/>
          <w:position w:val="1"/>
        </w:rPr>
        <w:t>–</w:t>
      </w:r>
      <w:r w:rsidRPr="00E655E5">
        <w:rPr>
          <w:rFonts w:eastAsiaTheme="minorEastAsia" w:hAnsi="Franklin Gothic Book"/>
          <w:color w:val="0D0D0D" w:themeColor="text1" w:themeTint="F2"/>
          <w:kern w:val="24"/>
          <w:position w:val="1"/>
        </w:rPr>
        <w:t xml:space="preserve"> Gifts for Christmas, birthdays, weddings, graduations, or memorials, education expenses (other than student loan payments), </w:t>
      </w:r>
      <w:r w:rsidR="00E655E5" w:rsidRPr="00E655E5">
        <w:rPr>
          <w:rFonts w:eastAsiaTheme="minorEastAsia" w:hAnsi="Franklin Gothic Book"/>
          <w:color w:val="0D0D0D" w:themeColor="text1" w:themeTint="F2"/>
          <w:kern w:val="24"/>
          <w:position w:val="1"/>
        </w:rPr>
        <w:t xml:space="preserve">child care, </w:t>
      </w:r>
      <w:r w:rsidRPr="00E655E5">
        <w:rPr>
          <w:rFonts w:eastAsiaTheme="minorEastAsia" w:hAnsi="Franklin Gothic Book"/>
          <w:color w:val="0D0D0D" w:themeColor="text1" w:themeTint="F2"/>
          <w:kern w:val="24"/>
          <w:position w:val="1"/>
        </w:rPr>
        <w:t>pet expenses, dues and subscriptions,</w:t>
      </w:r>
      <w:r w:rsidR="00E655E5" w:rsidRPr="00E655E5">
        <w:rPr>
          <w:rFonts w:eastAsiaTheme="minorEastAsia" w:hAnsi="Franklin Gothic Book"/>
          <w:color w:val="0D0D0D" w:themeColor="text1" w:themeTint="F2"/>
          <w:kern w:val="24"/>
          <w:position w:val="1"/>
        </w:rPr>
        <w:t xml:space="preserve"> tax preparation fees, domestic help such as house cleaning, elder care, other miscellaneous.  </w:t>
      </w:r>
      <w:r w:rsidR="00E655E5" w:rsidRPr="00E655E5">
        <w:rPr>
          <w:rFonts w:eastAsiaTheme="minorEastAsia" w:hAnsi="Franklin Gothic Book"/>
          <w:b/>
          <w:i/>
          <w:color w:val="0D0D0D" w:themeColor="text1" w:themeTint="F2"/>
          <w:kern w:val="24"/>
          <w:position w:val="1"/>
        </w:rPr>
        <w:t>Estimate $200 to $300 per person, per month.  Depends a lot on whether the family has child care expenses, pet expenses, or costs of elder care.</w:t>
      </w:r>
    </w:p>
    <w:p w:rsidR="003C041B" w:rsidRDefault="003C041B" w:rsidP="000C7640">
      <w:pPr>
        <w:spacing w:after="0" w:line="240" w:lineRule="auto"/>
        <w:contextualSpacing/>
        <w:rPr>
          <w:rFonts w:eastAsiaTheme="minorEastAsia" w:hAnsi="Franklin Gothic Book"/>
          <w:b/>
          <w:color w:val="0D0D0D" w:themeColor="text1" w:themeTint="F2"/>
          <w:kern w:val="24"/>
          <w:position w:val="1"/>
          <w:sz w:val="24"/>
        </w:rPr>
      </w:pPr>
    </w:p>
    <w:p w:rsidR="000C7640" w:rsidRDefault="00E655E5" w:rsidP="000C7640">
      <w:pPr>
        <w:spacing w:after="0" w:line="240" w:lineRule="auto"/>
        <w:contextualSpacing/>
        <w:rPr>
          <w:rFonts w:eastAsiaTheme="minorEastAsia" w:hAnsi="Franklin Gothic Book"/>
          <w:b/>
          <w:color w:val="0D0D0D" w:themeColor="text1" w:themeTint="F2"/>
          <w:kern w:val="24"/>
          <w:position w:val="1"/>
          <w:sz w:val="24"/>
        </w:rPr>
      </w:pPr>
      <w:r w:rsidRPr="00E655E5">
        <w:rPr>
          <w:rFonts w:eastAsiaTheme="minorEastAsia" w:hAnsi="Franklin Gothic Book"/>
          <w:b/>
          <w:color w:val="0D0D0D" w:themeColor="text1" w:themeTint="F2"/>
          <w:kern w:val="24"/>
          <w:position w:val="1"/>
          <w:sz w:val="24"/>
        </w:rPr>
        <w:t xml:space="preserve">Total up </w:t>
      </w:r>
      <w:r w:rsidR="00293B9B">
        <w:rPr>
          <w:rFonts w:eastAsiaTheme="minorEastAsia" w:hAnsi="Franklin Gothic Book"/>
          <w:b/>
          <w:color w:val="0D0D0D" w:themeColor="text1" w:themeTint="F2"/>
          <w:kern w:val="24"/>
          <w:position w:val="1"/>
          <w:sz w:val="24"/>
        </w:rPr>
        <w:t xml:space="preserve">all of </w:t>
      </w:r>
      <w:r w:rsidRPr="00E655E5">
        <w:rPr>
          <w:rFonts w:eastAsiaTheme="minorEastAsia" w:hAnsi="Franklin Gothic Book"/>
          <w:b/>
          <w:color w:val="0D0D0D" w:themeColor="text1" w:themeTint="F2"/>
          <w:kern w:val="24"/>
          <w:position w:val="1"/>
          <w:sz w:val="24"/>
        </w:rPr>
        <w:t>the</w:t>
      </w:r>
      <w:r w:rsidR="00293B9B">
        <w:rPr>
          <w:rFonts w:eastAsiaTheme="minorEastAsia" w:hAnsi="Franklin Gothic Book"/>
          <w:b/>
          <w:color w:val="0D0D0D" w:themeColor="text1" w:themeTint="F2"/>
          <w:kern w:val="24"/>
          <w:position w:val="1"/>
          <w:sz w:val="24"/>
        </w:rPr>
        <w:t>se</w:t>
      </w:r>
      <w:r w:rsidRPr="00E655E5">
        <w:rPr>
          <w:rFonts w:eastAsiaTheme="minorEastAsia" w:hAnsi="Franklin Gothic Book"/>
          <w:b/>
          <w:color w:val="0D0D0D" w:themeColor="text1" w:themeTint="F2"/>
          <w:kern w:val="24"/>
          <w:position w:val="1"/>
          <w:sz w:val="24"/>
        </w:rPr>
        <w:t xml:space="preserve"> expenses.  A family of four could have family living costs of approximately $75,000/year.</w:t>
      </w:r>
    </w:p>
    <w:p w:rsidR="003C041B" w:rsidRDefault="003C041B" w:rsidP="003C041B">
      <w:pPr>
        <w:spacing w:after="0" w:line="240" w:lineRule="auto"/>
        <w:contextualSpacing/>
        <w:rPr>
          <w:rFonts w:eastAsiaTheme="minorEastAsia" w:hAnsi="Franklin Gothic Book"/>
          <w:b/>
          <w:color w:val="0D0D0D" w:themeColor="text1" w:themeTint="F2"/>
          <w:kern w:val="24"/>
          <w:position w:val="1"/>
          <w:sz w:val="24"/>
        </w:rPr>
      </w:pPr>
      <w:r>
        <w:rPr>
          <w:rFonts w:eastAsiaTheme="minorEastAsia" w:hAnsi="Franklin Gothic Book"/>
          <w:b/>
          <w:color w:val="0D0D0D" w:themeColor="text1" w:themeTint="F2"/>
          <w:kern w:val="24"/>
          <w:position w:val="1"/>
          <w:sz w:val="24"/>
        </w:rPr>
        <w:t>__________________________________________________________________________________________Contact Compeer Financial for your farm financing needs:</w:t>
      </w:r>
    </w:p>
    <w:p w:rsidR="003C041B" w:rsidRPr="003C041B" w:rsidRDefault="003C041B" w:rsidP="003C041B">
      <w:pPr>
        <w:spacing w:after="0" w:line="240" w:lineRule="auto"/>
        <w:contextualSpacing/>
        <w:rPr>
          <w:rFonts w:eastAsiaTheme="minorEastAsia" w:hAnsi="Franklin Gothic Book"/>
          <w:b/>
          <w:color w:val="0D0D0D" w:themeColor="text1" w:themeTint="F2"/>
          <w:kern w:val="24"/>
          <w:position w:val="1"/>
          <w:sz w:val="24"/>
        </w:rPr>
      </w:pPr>
      <w:r>
        <w:rPr>
          <w:rFonts w:eastAsiaTheme="minorEastAsia" w:hAnsi="Franklin Gothic Book"/>
          <w:b/>
          <w:color w:val="0D0D0D" w:themeColor="text1" w:themeTint="F2"/>
          <w:kern w:val="24"/>
          <w:position w:val="1"/>
          <w:sz w:val="24"/>
        </w:rPr>
        <w:br/>
      </w:r>
      <w:r w:rsidRPr="003C041B">
        <w:rPr>
          <w:rFonts w:eastAsiaTheme="minorEastAsia" w:hAnsi="Franklin Gothic Book"/>
          <w:b/>
          <w:color w:val="0D0D0D" w:themeColor="text1" w:themeTint="F2"/>
          <w:kern w:val="24"/>
          <w:position w:val="1"/>
          <w:sz w:val="24"/>
        </w:rPr>
        <w:t>Paul Dietmann, Sr. Lending Officer</w:t>
      </w:r>
      <w:r>
        <w:rPr>
          <w:rFonts w:eastAsiaTheme="minorEastAsia" w:hAnsi="Franklin Gothic Book"/>
          <w:b/>
          <w:color w:val="0D0D0D" w:themeColor="text1" w:themeTint="F2"/>
          <w:kern w:val="24"/>
          <w:position w:val="1"/>
          <w:sz w:val="24"/>
        </w:rPr>
        <w:tab/>
      </w:r>
      <w:r>
        <w:rPr>
          <w:rFonts w:eastAsiaTheme="minorEastAsia" w:hAnsi="Franklin Gothic Book"/>
          <w:b/>
          <w:color w:val="0D0D0D" w:themeColor="text1" w:themeTint="F2"/>
          <w:kern w:val="24"/>
          <w:position w:val="1"/>
          <w:sz w:val="24"/>
        </w:rPr>
        <w:tab/>
      </w:r>
      <w:r>
        <w:rPr>
          <w:rFonts w:eastAsiaTheme="minorEastAsia" w:hAnsi="Franklin Gothic Book"/>
          <w:b/>
          <w:color w:val="0D0D0D" w:themeColor="text1" w:themeTint="F2"/>
          <w:kern w:val="24"/>
          <w:position w:val="1"/>
          <w:sz w:val="24"/>
        </w:rPr>
        <w:tab/>
      </w:r>
      <w:r>
        <w:rPr>
          <w:rFonts w:eastAsiaTheme="minorEastAsia" w:hAnsi="Franklin Gothic Book"/>
          <w:b/>
          <w:color w:val="0D0D0D" w:themeColor="text1" w:themeTint="F2"/>
          <w:kern w:val="24"/>
          <w:position w:val="1"/>
          <w:sz w:val="24"/>
        </w:rPr>
        <w:tab/>
      </w:r>
      <w:r w:rsidRPr="003C041B">
        <w:rPr>
          <w:rFonts w:eastAsiaTheme="minorEastAsia" w:hAnsi="Franklin Gothic Book"/>
          <w:b/>
          <w:color w:val="0D0D0D" w:themeColor="text1" w:themeTint="F2"/>
          <w:kern w:val="24"/>
          <w:position w:val="1"/>
          <w:sz w:val="24"/>
        </w:rPr>
        <w:t>Sai Thao, Lending Officer</w:t>
      </w:r>
    </w:p>
    <w:p w:rsidR="003C041B" w:rsidRPr="000C7640" w:rsidRDefault="003C041B" w:rsidP="003C041B">
      <w:pPr>
        <w:spacing w:after="0" w:line="240" w:lineRule="auto"/>
        <w:contextualSpacing/>
        <w:rPr>
          <w:rFonts w:eastAsiaTheme="minorEastAsia" w:hAnsi="Franklin Gothic Book"/>
          <w:color w:val="0D0D0D" w:themeColor="text1" w:themeTint="F2"/>
          <w:kern w:val="24"/>
          <w:position w:val="1"/>
          <w:sz w:val="24"/>
        </w:rPr>
      </w:pPr>
      <w:r w:rsidRPr="003C041B">
        <w:rPr>
          <w:rFonts w:eastAsiaTheme="minorEastAsia" w:hAnsi="Franklin Gothic Book"/>
          <w:b/>
          <w:color w:val="0D0D0D" w:themeColor="text1" w:themeTint="F2"/>
          <w:kern w:val="24"/>
          <w:position w:val="1"/>
          <w:sz w:val="24"/>
        </w:rPr>
        <w:t xml:space="preserve">(608) 963-7763 | </w:t>
      </w:r>
      <w:hyperlink r:id="rId6" w:history="1">
        <w:r w:rsidRPr="009C2775">
          <w:rPr>
            <w:rStyle w:val="Hyperlink"/>
            <w:rFonts w:eastAsiaTheme="minorEastAsia" w:hAnsi="Franklin Gothic Book"/>
            <w:b/>
            <w:kern w:val="24"/>
            <w:position w:val="1"/>
            <w:sz w:val="24"/>
          </w:rPr>
          <w:t>Paul.Dietmann@compeer.com</w:t>
        </w:r>
      </w:hyperlink>
      <w:r>
        <w:rPr>
          <w:rFonts w:eastAsiaTheme="minorEastAsia" w:hAnsi="Franklin Gothic Book"/>
          <w:b/>
          <w:color w:val="0D0D0D" w:themeColor="text1" w:themeTint="F2"/>
          <w:kern w:val="24"/>
          <w:position w:val="1"/>
          <w:sz w:val="24"/>
        </w:rPr>
        <w:tab/>
      </w:r>
      <w:r>
        <w:rPr>
          <w:rFonts w:eastAsiaTheme="minorEastAsia" w:hAnsi="Franklin Gothic Book"/>
          <w:b/>
          <w:color w:val="0D0D0D" w:themeColor="text1" w:themeTint="F2"/>
          <w:kern w:val="24"/>
          <w:position w:val="1"/>
          <w:sz w:val="24"/>
        </w:rPr>
        <w:tab/>
      </w:r>
      <w:r w:rsidRPr="003C041B">
        <w:rPr>
          <w:rFonts w:eastAsiaTheme="minorEastAsia" w:hAnsi="Franklin Gothic Book"/>
          <w:b/>
          <w:color w:val="0D0D0D" w:themeColor="text1" w:themeTint="F2"/>
          <w:kern w:val="24"/>
          <w:position w:val="1"/>
          <w:sz w:val="24"/>
        </w:rPr>
        <w:t xml:space="preserve">(612) 597-4086 | </w:t>
      </w:r>
      <w:hyperlink r:id="rId7" w:history="1">
        <w:r w:rsidRPr="009C2775">
          <w:rPr>
            <w:rStyle w:val="Hyperlink"/>
            <w:rFonts w:eastAsiaTheme="minorEastAsia" w:hAnsi="Franklin Gothic Book"/>
            <w:b/>
            <w:kern w:val="24"/>
            <w:position w:val="1"/>
            <w:sz w:val="24"/>
          </w:rPr>
          <w:t>Sai.Thao@compeer.com</w:t>
        </w:r>
      </w:hyperlink>
    </w:p>
    <w:sectPr w:rsidR="003C041B" w:rsidRPr="000C7640" w:rsidSect="003C04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7E5C"/>
    <w:multiLevelType w:val="hybridMultilevel"/>
    <w:tmpl w:val="A516B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A5779"/>
    <w:multiLevelType w:val="hybridMultilevel"/>
    <w:tmpl w:val="E912145C"/>
    <w:lvl w:ilvl="0" w:tplc="91447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9681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826F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A24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879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EFF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68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C1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866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40"/>
    <w:rsid w:val="000C7640"/>
    <w:rsid w:val="001A150C"/>
    <w:rsid w:val="00293B9B"/>
    <w:rsid w:val="003C041B"/>
    <w:rsid w:val="003C678B"/>
    <w:rsid w:val="009C25D4"/>
    <w:rsid w:val="00CF07BC"/>
    <w:rsid w:val="00E25930"/>
    <w:rsid w:val="00E6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14B6"/>
  <w15:chartTrackingRefBased/>
  <w15:docId w15:val="{9374074D-7D48-44F6-955B-C64A3F54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6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4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1920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89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28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47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67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55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16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25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.Thao@compe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Dietmann@compe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Badgerland Financial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Dietmann, Paul</dc:creator>
  <cp:keywords/>
  <dc:description/>
  <cp:lastModifiedBy>Brown, Karen</cp:lastModifiedBy>
  <cp:revision>2</cp:revision>
  <dcterms:created xsi:type="dcterms:W3CDTF">2017-12-18T21:06:00Z</dcterms:created>
  <dcterms:modified xsi:type="dcterms:W3CDTF">2017-12-18T21:06:00Z</dcterms:modified>
</cp:coreProperties>
</file>